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eastAsia="方正小标宋简体"/>
          <w:b w:val="0"/>
          <w:i w:val="0"/>
          <w:caps w:val="0"/>
          <w:color w:val="000000"/>
          <w:spacing w:val="0"/>
          <w:w w:val="100"/>
          <w:kern w:val="2"/>
          <w:sz w:val="32"/>
          <w:szCs w:val="32"/>
          <w:lang w:val="en-US" w:eastAsia="zh-CN" w:bidi="ar-SA"/>
        </w:rPr>
      </w:pPr>
      <w:r>
        <w:rPr>
          <w:rStyle w:val="6"/>
          <w:rFonts w:hint="eastAsia" w:eastAsia="方正小标宋简体"/>
          <w:b w:val="0"/>
          <w:i w:val="0"/>
          <w:caps w:val="0"/>
          <w:color w:val="000000"/>
          <w:spacing w:val="0"/>
          <w:w w:val="100"/>
          <w:kern w:val="2"/>
          <w:sz w:val="32"/>
          <w:szCs w:val="32"/>
          <w:lang w:val="en-US" w:eastAsia="zh-CN" w:bidi="ar-SA"/>
        </w:rPr>
        <w:t>2025年</w:t>
      </w:r>
      <w:r>
        <w:rPr>
          <w:rStyle w:val="6"/>
          <w:rFonts w:eastAsia="方正小标宋简体"/>
          <w:b w:val="0"/>
          <w:i w:val="0"/>
          <w:caps w:val="0"/>
          <w:color w:val="000000"/>
          <w:spacing w:val="0"/>
          <w:w w:val="100"/>
          <w:kern w:val="2"/>
          <w:sz w:val="32"/>
          <w:szCs w:val="32"/>
          <w:lang w:val="en-US" w:eastAsia="zh-CN" w:bidi="ar-SA"/>
        </w:rPr>
        <w:t>新乡市学生服产品质量市监督抽查实施细则</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eastAsia="方正小标宋简体"/>
          <w:b w:val="0"/>
          <w:i w:val="0"/>
          <w:caps w:val="0"/>
          <w:color w:val="000000"/>
          <w:spacing w:val="0"/>
          <w:w w:val="100"/>
          <w:kern w:val="2"/>
          <w:sz w:val="32"/>
          <w:szCs w:val="32"/>
          <w:lang w:val="en-US" w:eastAsia="zh-CN" w:bidi="ar-SA"/>
        </w:rPr>
      </w:pP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left"/>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eastAsia="方正小标宋简体"/>
          <w:b w:val="0"/>
          <w:i w:val="0"/>
          <w:caps w:val="0"/>
          <w:color w:val="000000"/>
          <w:spacing w:val="0"/>
          <w:w w:val="100"/>
          <w:kern w:val="2"/>
          <w:sz w:val="32"/>
          <w:szCs w:val="32"/>
          <w:lang w:val="en-US" w:eastAsia="zh-CN" w:bidi="ar-SA"/>
        </w:rPr>
        <w:t xml:space="preserve">   </w:t>
      </w:r>
      <w:r>
        <w:rPr>
          <w:rStyle w:val="6"/>
          <w:rFonts w:ascii="仿宋" w:hAnsi="仿宋" w:eastAsia="仿宋"/>
          <w:b w:val="0"/>
          <w:i w:val="0"/>
          <w:caps w:val="0"/>
          <w:color w:val="000000"/>
          <w:spacing w:val="0"/>
          <w:w w:val="100"/>
          <w:kern w:val="2"/>
          <w:sz w:val="30"/>
          <w:szCs w:val="30"/>
          <w:lang w:val="en-US" w:eastAsia="zh-CN" w:bidi="ar-SA"/>
        </w:rPr>
        <w:t>本细则适用于新乡市市场监督管理局组织的学生服产品质量市监督抽查。本细则规定了此产品的抽样方法、检验依据、检验项目、检验方法、判定原则等。</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1 抽样方法</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firstLine="600" w:firstLineChars="200"/>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以随机抽样的方式在被抽样生产者、销售者的待销产品中、使用单位存放处抽取。</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firstLine="600" w:firstLineChars="200"/>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随机数一般可使用随机数表等方法产生。</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firstLine="600" w:firstLineChars="200"/>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每批次产品抽取样品2件（条、套），其中1件（条、套）作为检验样品，1件（条、套）作为备用样品。</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2 检验依据</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p>
    <w:tbl>
      <w:tblPr>
        <w:tblStyle w:val="4"/>
        <w:tblW w:w="91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53"/>
        <w:gridCol w:w="4047"/>
        <w:gridCol w:w="41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blHeader/>
          <w:jc w:val="center"/>
        </w:trPr>
        <w:tc>
          <w:tcPr>
            <w:tcW w:w="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cs="仿宋"/>
                <w:b w:val="0"/>
                <w:bCs/>
                <w:i w:val="0"/>
                <w:caps w:val="0"/>
                <w:color w:val="000000"/>
                <w:spacing w:val="0"/>
                <w:w w:val="100"/>
                <w:kern w:val="2"/>
                <w:sz w:val="30"/>
                <w:szCs w:val="30"/>
                <w:lang w:val="en-US" w:eastAsia="zh-CN" w:bidi="ar-SA"/>
              </w:rPr>
            </w:pPr>
            <w:r>
              <w:rPr>
                <w:rStyle w:val="6"/>
                <w:rFonts w:ascii="仿宋" w:hAnsi="仿宋" w:eastAsia="仿宋" w:cs="仿宋"/>
                <w:b w:val="0"/>
                <w:bCs/>
                <w:i w:val="0"/>
                <w:caps w:val="0"/>
                <w:color w:val="000000"/>
                <w:spacing w:val="0"/>
                <w:w w:val="100"/>
                <w:kern w:val="2"/>
                <w:sz w:val="30"/>
                <w:szCs w:val="30"/>
                <w:lang w:val="en-US" w:eastAsia="zh-CN" w:bidi="ar-SA"/>
              </w:rPr>
              <w:t>序号</w:t>
            </w:r>
          </w:p>
        </w:tc>
        <w:tc>
          <w:tcPr>
            <w:tcW w:w="40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cs="仿宋"/>
                <w:b w:val="0"/>
                <w:bCs/>
                <w:i w:val="0"/>
                <w:caps w:val="0"/>
                <w:color w:val="000000"/>
                <w:spacing w:val="0"/>
                <w:w w:val="100"/>
                <w:kern w:val="2"/>
                <w:sz w:val="30"/>
                <w:szCs w:val="30"/>
                <w:lang w:val="en-US" w:eastAsia="zh-CN" w:bidi="ar-SA"/>
              </w:rPr>
            </w:pPr>
            <w:r>
              <w:rPr>
                <w:rStyle w:val="6"/>
                <w:rFonts w:ascii="仿宋" w:hAnsi="仿宋" w:eastAsia="仿宋" w:cs="仿宋"/>
                <w:b w:val="0"/>
                <w:bCs/>
                <w:i w:val="0"/>
                <w:caps w:val="0"/>
                <w:color w:val="000000"/>
                <w:spacing w:val="0"/>
                <w:w w:val="100"/>
                <w:kern w:val="2"/>
                <w:sz w:val="30"/>
                <w:szCs w:val="30"/>
                <w:lang w:val="en-US" w:eastAsia="zh-CN" w:bidi="ar-SA"/>
              </w:rPr>
              <w:t>检验项目</w:t>
            </w:r>
          </w:p>
        </w:tc>
        <w:tc>
          <w:tcPr>
            <w:tcW w:w="41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cs="仿宋"/>
                <w:b w:val="0"/>
                <w:bCs/>
                <w:i w:val="0"/>
                <w:caps w:val="0"/>
                <w:color w:val="000000"/>
                <w:spacing w:val="0"/>
                <w:w w:val="100"/>
                <w:kern w:val="2"/>
                <w:sz w:val="30"/>
                <w:szCs w:val="30"/>
                <w:lang w:val="en-US" w:eastAsia="zh-CN" w:bidi="ar-SA"/>
              </w:rPr>
            </w:pPr>
            <w:r>
              <w:rPr>
                <w:rStyle w:val="6"/>
                <w:rFonts w:ascii="仿宋" w:hAnsi="仿宋" w:eastAsia="仿宋" w:cs="仿宋"/>
                <w:b w:val="0"/>
                <w:bCs/>
                <w:i w:val="0"/>
                <w:caps w:val="0"/>
                <w:color w:val="000000"/>
                <w:spacing w:val="0"/>
                <w:w w:val="100"/>
                <w:kern w:val="2"/>
                <w:sz w:val="30"/>
                <w:szCs w:val="30"/>
                <w:lang w:val="en-US" w:eastAsia="zh-CN" w:bidi="ar-SA"/>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1</w:t>
            </w:r>
          </w:p>
        </w:tc>
        <w:tc>
          <w:tcPr>
            <w:tcW w:w="40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甲醛含量</w:t>
            </w:r>
          </w:p>
        </w:tc>
        <w:tc>
          <w:tcPr>
            <w:tcW w:w="41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GB/T 2912.1-2009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2</w:t>
            </w:r>
          </w:p>
        </w:tc>
        <w:tc>
          <w:tcPr>
            <w:tcW w:w="40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pH值</w:t>
            </w:r>
          </w:p>
        </w:tc>
        <w:tc>
          <w:tcPr>
            <w:tcW w:w="41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GB/T 7573-2009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3</w:t>
            </w:r>
          </w:p>
        </w:tc>
        <w:tc>
          <w:tcPr>
            <w:tcW w:w="40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耐水色牢度</w:t>
            </w:r>
          </w:p>
        </w:tc>
        <w:tc>
          <w:tcPr>
            <w:tcW w:w="41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GB/T 5713-2013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4</w:t>
            </w:r>
          </w:p>
        </w:tc>
        <w:tc>
          <w:tcPr>
            <w:tcW w:w="40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耐酸汗渍色牢度</w:t>
            </w:r>
          </w:p>
        </w:tc>
        <w:tc>
          <w:tcPr>
            <w:tcW w:w="41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GB/T 3922-2013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5</w:t>
            </w:r>
          </w:p>
        </w:tc>
        <w:tc>
          <w:tcPr>
            <w:tcW w:w="40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耐碱汗渍色牢度</w:t>
            </w:r>
          </w:p>
        </w:tc>
        <w:tc>
          <w:tcPr>
            <w:tcW w:w="41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GB/T 3922-2013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6</w:t>
            </w:r>
          </w:p>
        </w:tc>
        <w:tc>
          <w:tcPr>
            <w:tcW w:w="40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耐干摩擦色牢度</w:t>
            </w:r>
          </w:p>
        </w:tc>
        <w:tc>
          <w:tcPr>
            <w:tcW w:w="41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GB/T3920-2008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7</w:t>
            </w:r>
          </w:p>
        </w:tc>
        <w:tc>
          <w:tcPr>
            <w:tcW w:w="40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center"/>
              <w:textAlignment w:val="baseline"/>
              <w:rPr>
                <w:rStyle w:val="6"/>
                <w:rFonts w:hint="default" w:ascii="仿宋" w:hAnsi="仿宋" w:eastAsia="仿宋"/>
                <w:b w:val="0"/>
                <w:i w:val="0"/>
                <w:caps w:val="0"/>
                <w:color w:val="000000"/>
                <w:spacing w:val="0"/>
                <w:w w:val="100"/>
                <w:kern w:val="2"/>
                <w:sz w:val="30"/>
                <w:szCs w:val="30"/>
                <w:lang w:val="en" w:eastAsia="zh-CN" w:bidi="ar-SA"/>
              </w:rPr>
            </w:pPr>
            <w:r>
              <w:rPr>
                <w:rStyle w:val="6"/>
                <w:rFonts w:ascii="仿宋" w:hAnsi="仿宋" w:eastAsia="仿宋"/>
                <w:b w:val="0"/>
                <w:i w:val="0"/>
                <w:caps w:val="0"/>
                <w:color w:val="000000"/>
                <w:spacing w:val="0"/>
                <w:w w:val="100"/>
                <w:kern w:val="2"/>
                <w:sz w:val="30"/>
                <w:szCs w:val="30"/>
                <w:lang w:val="en-US" w:eastAsia="zh-CN" w:bidi="ar-SA"/>
              </w:rPr>
              <w:t>纤维</w:t>
            </w:r>
            <w:r>
              <w:rPr>
                <w:rStyle w:val="6"/>
                <w:rFonts w:hint="eastAsia" w:ascii="仿宋" w:hAnsi="仿宋" w:eastAsia="仿宋"/>
                <w:b w:val="0"/>
                <w:i w:val="0"/>
                <w:caps w:val="0"/>
                <w:color w:val="000000"/>
                <w:spacing w:val="0"/>
                <w:w w:val="100"/>
                <w:kern w:val="2"/>
                <w:sz w:val="30"/>
                <w:szCs w:val="30"/>
                <w:lang w:val="en-US" w:eastAsia="zh-CN" w:bidi="ar-SA"/>
              </w:rPr>
              <w:t>含量</w:t>
            </w:r>
          </w:p>
        </w:tc>
        <w:tc>
          <w:tcPr>
            <w:tcW w:w="41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left="600" w:hanging="600"/>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FZ/T01057.2-2007</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left="600" w:hanging="600"/>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FZ/T01057.2-2007</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left="600" w:hanging="600"/>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FZ/T01057.3-2007</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FZ/T01057.4-2007</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default" w:ascii="仿宋" w:hAnsi="仿宋" w:eastAsia="仿宋" w:cs="仿宋"/>
                <w:sz w:val="30"/>
                <w:szCs w:val="30"/>
                <w:lang w:val="en" w:eastAsia="zh-CN"/>
              </w:rPr>
            </w:pPr>
            <w:r>
              <w:rPr>
                <w:rFonts w:hint="default" w:ascii="仿宋" w:hAnsi="仿宋" w:eastAsia="仿宋" w:cs="仿宋"/>
                <w:sz w:val="30"/>
                <w:szCs w:val="30"/>
                <w:lang w:val="en" w:eastAsia="zh-CN"/>
              </w:rPr>
              <w:t>GB/T 2910.2-2009</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default" w:ascii="仿宋" w:hAnsi="仿宋" w:eastAsia="仿宋" w:cs="仿宋"/>
                <w:sz w:val="30"/>
                <w:szCs w:val="30"/>
                <w:lang w:val="en" w:eastAsia="zh-CN"/>
              </w:rPr>
            </w:pPr>
            <w:r>
              <w:rPr>
                <w:rFonts w:hint="default" w:ascii="仿宋" w:hAnsi="仿宋" w:eastAsia="仿宋" w:cs="仿宋"/>
                <w:sz w:val="30"/>
                <w:szCs w:val="30"/>
                <w:lang w:val="en" w:eastAsia="zh-CN"/>
              </w:rPr>
              <w:t>GB/T 2910.4-2022</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default" w:ascii="仿宋" w:hAnsi="仿宋" w:eastAsia="仿宋" w:cs="仿宋"/>
                <w:sz w:val="30"/>
                <w:szCs w:val="30"/>
                <w:lang w:val="en" w:eastAsia="zh-CN"/>
              </w:rPr>
            </w:pPr>
            <w:r>
              <w:rPr>
                <w:rFonts w:hint="default" w:ascii="仿宋" w:hAnsi="仿宋" w:eastAsia="仿宋" w:cs="仿宋"/>
                <w:sz w:val="30"/>
                <w:szCs w:val="30"/>
                <w:lang w:val="en" w:eastAsia="zh-CN"/>
              </w:rPr>
              <w:t>GB/T 2910.6-2009</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default" w:ascii="仿宋" w:hAnsi="仿宋" w:eastAsia="仿宋" w:cs="仿宋"/>
                <w:sz w:val="30"/>
                <w:szCs w:val="30"/>
                <w:lang w:val="en" w:eastAsia="zh-CN"/>
              </w:rPr>
            </w:pPr>
            <w:r>
              <w:rPr>
                <w:rFonts w:hint="default" w:ascii="仿宋" w:hAnsi="仿宋" w:eastAsia="仿宋" w:cs="仿宋"/>
                <w:sz w:val="30"/>
                <w:szCs w:val="30"/>
                <w:lang w:val="en" w:eastAsia="zh-CN"/>
              </w:rPr>
              <w:t>GB/T 2910.7-2009</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default" w:ascii="仿宋" w:hAnsi="仿宋" w:eastAsia="仿宋" w:cs="仿宋"/>
                <w:sz w:val="30"/>
                <w:szCs w:val="30"/>
                <w:lang w:val="en" w:eastAsia="zh-CN"/>
              </w:rPr>
            </w:pPr>
            <w:r>
              <w:rPr>
                <w:rFonts w:hint="default" w:ascii="仿宋" w:hAnsi="仿宋" w:eastAsia="仿宋" w:cs="仿宋"/>
                <w:sz w:val="30"/>
                <w:szCs w:val="30"/>
                <w:lang w:val="en" w:eastAsia="zh-CN"/>
              </w:rPr>
              <w:t>GB/T 2910.11-2009</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default" w:ascii="仿宋" w:hAnsi="仿宋" w:eastAsia="仿宋" w:cs="仿宋"/>
                <w:sz w:val="30"/>
                <w:szCs w:val="30"/>
                <w:lang w:val="en-US" w:eastAsia="zh-CN"/>
              </w:rPr>
            </w:pPr>
            <w:r>
              <w:rPr>
                <w:rFonts w:hint="default" w:ascii="仿宋" w:hAnsi="仿宋" w:eastAsia="仿宋" w:cs="仿宋"/>
                <w:sz w:val="30"/>
                <w:szCs w:val="30"/>
                <w:lang w:val="en" w:eastAsia="zh-CN"/>
              </w:rPr>
              <w:t>GB/T 2910.12-20</w:t>
            </w:r>
            <w:r>
              <w:rPr>
                <w:rFonts w:hint="eastAsia" w:ascii="仿宋" w:hAnsi="仿宋" w:eastAsia="仿宋" w:cs="仿宋"/>
                <w:sz w:val="30"/>
                <w:szCs w:val="30"/>
                <w:lang w:val="en-US" w:eastAsia="zh-CN"/>
              </w:rPr>
              <w:t>23</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default" w:ascii="仿宋" w:hAnsi="仿宋" w:eastAsia="仿宋" w:cs="仿宋"/>
                <w:sz w:val="30"/>
                <w:szCs w:val="30"/>
                <w:lang w:val="en" w:eastAsia="zh-CN"/>
              </w:rPr>
            </w:pPr>
            <w:r>
              <w:rPr>
                <w:rFonts w:hint="default" w:ascii="仿宋" w:hAnsi="仿宋" w:eastAsia="仿宋" w:cs="仿宋"/>
                <w:sz w:val="30"/>
                <w:szCs w:val="30"/>
                <w:lang w:val="en" w:eastAsia="zh-CN"/>
              </w:rPr>
              <w:t>GB/T 2910.16-2009</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default" w:ascii="仿宋" w:hAnsi="仿宋" w:eastAsia="仿宋" w:cs="仿宋"/>
                <w:sz w:val="30"/>
                <w:szCs w:val="30"/>
                <w:lang w:val="en" w:eastAsia="zh-CN"/>
              </w:rPr>
            </w:pPr>
            <w:r>
              <w:rPr>
                <w:rFonts w:hint="default" w:ascii="仿宋" w:hAnsi="仿宋" w:eastAsia="仿宋" w:cs="仿宋"/>
                <w:sz w:val="30"/>
                <w:szCs w:val="30"/>
                <w:lang w:val="en" w:eastAsia="zh-CN"/>
              </w:rPr>
              <w:t>GB/T 2910.18-2009</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default" w:ascii="仿宋" w:hAnsi="仿宋" w:eastAsia="仿宋" w:cs="仿宋"/>
                <w:sz w:val="30"/>
                <w:szCs w:val="30"/>
                <w:lang w:val="en" w:eastAsia="zh-CN"/>
              </w:rPr>
            </w:pPr>
            <w:r>
              <w:rPr>
                <w:rFonts w:hint="default" w:ascii="仿宋" w:hAnsi="仿宋" w:eastAsia="仿宋" w:cs="仿宋"/>
                <w:sz w:val="30"/>
                <w:szCs w:val="30"/>
                <w:lang w:val="en" w:eastAsia="zh-CN"/>
              </w:rPr>
              <w:t>GB/T 2910.20-2009</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default" w:ascii="仿宋" w:hAnsi="仿宋" w:eastAsia="仿宋" w:cs="仿宋"/>
                <w:sz w:val="30"/>
                <w:szCs w:val="30"/>
                <w:lang w:val="en" w:eastAsia="zh-CN"/>
              </w:rPr>
            </w:pPr>
            <w:r>
              <w:rPr>
                <w:rFonts w:hint="default" w:ascii="仿宋" w:hAnsi="仿宋" w:eastAsia="仿宋" w:cs="仿宋"/>
                <w:sz w:val="30"/>
                <w:szCs w:val="30"/>
                <w:lang w:val="en" w:eastAsia="zh-CN"/>
              </w:rPr>
              <w:t>GB/T 2910.22-2009</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default" w:ascii="仿宋" w:hAnsi="仿宋" w:eastAsia="仿宋" w:cs="仿宋"/>
                <w:sz w:val="30"/>
                <w:szCs w:val="30"/>
                <w:lang w:val="en" w:eastAsia="zh-CN"/>
              </w:rPr>
            </w:pPr>
            <w:r>
              <w:rPr>
                <w:rFonts w:hint="default" w:ascii="仿宋" w:hAnsi="仿宋" w:eastAsia="仿宋" w:cs="仿宋"/>
                <w:sz w:val="30"/>
                <w:szCs w:val="30"/>
                <w:lang w:val="en" w:eastAsia="zh-CN"/>
              </w:rPr>
              <w:t>GB/T 2910.24-2009</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default" w:ascii="仿宋" w:hAnsi="仿宋" w:eastAsia="仿宋" w:cs="仿宋"/>
                <w:sz w:val="30"/>
                <w:szCs w:val="30"/>
                <w:lang w:val="en" w:eastAsia="zh-CN"/>
              </w:rPr>
            </w:pPr>
            <w:r>
              <w:rPr>
                <w:rFonts w:hint="default" w:ascii="仿宋" w:hAnsi="仿宋" w:eastAsia="仿宋" w:cs="仿宋"/>
                <w:sz w:val="30"/>
                <w:szCs w:val="30"/>
                <w:lang w:val="en" w:eastAsia="zh-CN"/>
              </w:rPr>
              <w:t>FZ/T 01026-2017</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Fonts w:hint="default" w:ascii="仿宋" w:hAnsi="仿宋" w:eastAsia="仿宋" w:cs="仿宋"/>
                <w:sz w:val="30"/>
                <w:szCs w:val="30"/>
                <w:lang w:val="en" w:eastAsia="zh-CN"/>
              </w:rPr>
              <w:t>FZ/T 01101-2008</w:t>
            </w:r>
          </w:p>
        </w:tc>
      </w:tr>
    </w:tbl>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firstLine="600" w:firstLineChars="200"/>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执行企业标准、团体标准、地方标准的产品，检验项目参照上述内容执行。</w:t>
      </w:r>
    </w:p>
    <w:p>
      <w:pPr>
        <w:snapToGrid w:val="0"/>
        <w:spacing w:line="440" w:lineRule="exact"/>
        <w:ind w:firstLine="513" w:firstLineChars="171"/>
        <w:rPr>
          <w:rStyle w:val="6"/>
          <w:rFonts w:ascii="仿宋" w:hAnsi="仿宋" w:eastAsia="仿宋"/>
          <w:b w:val="0"/>
          <w:i w:val="0"/>
          <w:caps w:val="0"/>
          <w:color w:val="000000"/>
          <w:spacing w:val="0"/>
          <w:w w:val="100"/>
          <w:kern w:val="2"/>
          <w:sz w:val="30"/>
          <w:szCs w:val="30"/>
          <w:lang w:val="en-US" w:eastAsia="zh-CN" w:bidi="ar-SA"/>
        </w:rPr>
      </w:pPr>
      <w:r>
        <w:rPr>
          <w:rFonts w:hint="eastAsia" w:ascii="仿宋" w:hAnsi="仿宋" w:eastAsia="仿宋" w:cs="仿宋"/>
          <w:sz w:val="30"/>
          <w:szCs w:val="30"/>
        </w:rPr>
        <w:t>凡是注日期的文件，其随后所有的修改单（不包括勘误的内容）或修订版不适用于本细则。凡是不注日期的文件，其最新版本适用于本细则。</w:t>
      </w:r>
      <w:bookmarkStart w:id="0" w:name="_GoBack"/>
      <w:bookmarkEnd w:id="0"/>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3 判定规则</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3.1依据标准</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GB18401-2010  国家纺织产品基本安全技术规范</w:t>
      </w:r>
    </w:p>
    <w:p>
      <w:pPr>
        <w:keepNext w:val="0"/>
        <w:keepLines w:val="0"/>
        <w:pageBreakBefore w:val="0"/>
        <w:kinsoku/>
        <w:wordWrap/>
        <w:overflowPunct/>
        <w:topLinePunct w:val="0"/>
        <w:autoSpaceDE/>
        <w:autoSpaceDN/>
        <w:bidi w:val="0"/>
        <w:adjustRightInd/>
        <w:snapToGrid/>
        <w:spacing w:before="0" w:beforeAutospacing="0" w:after="0" w:afterAutospacing="0" w:line="500" w:lineRule="exact"/>
        <w:ind w:left="0" w:leftChars="0"/>
        <w:jc w:val="both"/>
        <w:textAlignment w:val="baseline"/>
        <w:rPr>
          <w:rStyle w:val="6"/>
          <w:rFonts w:ascii="仿宋" w:hAnsi="仿宋" w:eastAsia="仿宋"/>
          <w:b w:val="0"/>
          <w:i w:val="0"/>
          <w:caps w:val="0"/>
          <w:color w:val="000000"/>
          <w:spacing w:val="0"/>
          <w:w w:val="100"/>
          <w:kern w:val="2"/>
          <w:sz w:val="32"/>
          <w:szCs w:val="32"/>
          <w:lang w:val="en-US" w:eastAsia="zh-CN" w:bidi="ar-SA"/>
        </w:rPr>
      </w:pPr>
      <w:r>
        <w:rPr>
          <w:rStyle w:val="6"/>
          <w:rFonts w:ascii="仿宋" w:hAnsi="仿宋" w:eastAsia="仿宋"/>
          <w:b w:val="0"/>
          <w:i w:val="0"/>
          <w:caps w:val="0"/>
          <w:color w:val="000000"/>
          <w:spacing w:val="0"/>
          <w:w w:val="100"/>
          <w:kern w:val="2"/>
          <w:sz w:val="32"/>
          <w:szCs w:val="32"/>
          <w:lang w:val="en-US" w:eastAsia="zh-CN" w:bidi="ar-SA"/>
        </w:rPr>
        <w:t>GB/T 23328-2009 机织学生服</w:t>
      </w:r>
    </w:p>
    <w:p>
      <w:pPr>
        <w:keepNext w:val="0"/>
        <w:keepLines w:val="0"/>
        <w:pageBreakBefore w:val="0"/>
        <w:kinsoku/>
        <w:wordWrap/>
        <w:overflowPunct/>
        <w:topLinePunct w:val="0"/>
        <w:autoSpaceDE/>
        <w:autoSpaceDN/>
        <w:bidi w:val="0"/>
        <w:adjustRightInd/>
        <w:snapToGrid/>
        <w:spacing w:before="0" w:beforeAutospacing="0" w:after="0" w:afterAutospacing="0" w:line="500" w:lineRule="exact"/>
        <w:ind w:left="0" w:leftChars="0"/>
        <w:jc w:val="both"/>
        <w:textAlignment w:val="baseline"/>
        <w:rPr>
          <w:rStyle w:val="6"/>
          <w:rFonts w:ascii="仿宋" w:hAnsi="仿宋" w:eastAsia="仿宋"/>
          <w:b w:val="0"/>
          <w:i w:val="0"/>
          <w:caps w:val="0"/>
          <w:color w:val="000000"/>
          <w:spacing w:val="0"/>
          <w:w w:val="100"/>
          <w:kern w:val="2"/>
          <w:sz w:val="32"/>
          <w:szCs w:val="32"/>
          <w:lang w:val="en-US" w:eastAsia="zh-CN" w:bidi="ar-SA"/>
        </w:rPr>
      </w:pPr>
      <w:r>
        <w:rPr>
          <w:rStyle w:val="6"/>
          <w:rFonts w:ascii="仿宋" w:hAnsi="仿宋" w:eastAsia="仿宋"/>
          <w:b w:val="0"/>
          <w:i w:val="0"/>
          <w:caps w:val="0"/>
          <w:color w:val="000000"/>
          <w:spacing w:val="0"/>
          <w:w w:val="100"/>
          <w:kern w:val="2"/>
          <w:sz w:val="32"/>
          <w:szCs w:val="32"/>
          <w:lang w:val="en-US" w:eastAsia="zh-CN" w:bidi="ar-SA"/>
        </w:rPr>
        <w:t>GB/T 22854-2009 针织学生服</w:t>
      </w:r>
    </w:p>
    <w:p>
      <w:pPr>
        <w:keepNext w:val="0"/>
        <w:keepLines w:val="0"/>
        <w:pageBreakBefore w:val="0"/>
        <w:kinsoku/>
        <w:wordWrap/>
        <w:overflowPunct/>
        <w:topLinePunct w:val="0"/>
        <w:autoSpaceDE/>
        <w:autoSpaceDN/>
        <w:bidi w:val="0"/>
        <w:adjustRightInd/>
        <w:snapToGrid/>
        <w:spacing w:before="0" w:beforeAutospacing="0" w:after="0" w:afterAutospacing="0" w:line="500" w:lineRule="exact"/>
        <w:ind w:left="0" w:leftChars="0"/>
        <w:jc w:val="both"/>
        <w:textAlignment w:val="baseline"/>
        <w:rPr>
          <w:rStyle w:val="6"/>
          <w:rFonts w:ascii="仿宋" w:hAnsi="仿宋" w:eastAsia="仿宋"/>
          <w:b w:val="0"/>
          <w:i w:val="0"/>
          <w:caps w:val="0"/>
          <w:color w:val="000000"/>
          <w:spacing w:val="0"/>
          <w:w w:val="100"/>
          <w:kern w:val="2"/>
          <w:sz w:val="32"/>
          <w:szCs w:val="32"/>
          <w:lang w:val="en-US" w:eastAsia="zh-CN" w:bidi="ar-SA"/>
        </w:rPr>
      </w:pPr>
      <w:r>
        <w:rPr>
          <w:rStyle w:val="6"/>
          <w:rFonts w:ascii="仿宋" w:hAnsi="仿宋" w:eastAsia="仿宋"/>
          <w:b w:val="0"/>
          <w:i w:val="0"/>
          <w:caps w:val="0"/>
          <w:color w:val="000000"/>
          <w:spacing w:val="0"/>
          <w:w w:val="100"/>
          <w:kern w:val="2"/>
          <w:sz w:val="32"/>
          <w:szCs w:val="32"/>
          <w:lang w:val="en-US" w:eastAsia="zh-CN" w:bidi="ar-SA"/>
        </w:rPr>
        <w:t>GB/T 31888-2015 中小学生校服</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left="439" w:leftChars="209"/>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现行有效的企业标准、团体标准、地方标准及产品明示质量要求</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3.2判定原则</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firstLine="600" w:firstLineChars="200"/>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经检验，检验项目全部合格，判定为被抽查产品</w:t>
      </w:r>
      <w:r>
        <w:rPr>
          <w:rStyle w:val="6"/>
          <w:rFonts w:hint="eastAsia" w:ascii="仿宋" w:hAnsi="仿宋" w:eastAsia="仿宋"/>
          <w:b w:val="0"/>
          <w:i w:val="0"/>
          <w:caps w:val="0"/>
          <w:color w:val="000000"/>
          <w:spacing w:val="0"/>
          <w:w w:val="100"/>
          <w:kern w:val="2"/>
          <w:sz w:val="30"/>
          <w:szCs w:val="30"/>
          <w:lang w:val="en-US" w:eastAsia="zh-CN" w:bidi="ar-SA"/>
        </w:rPr>
        <w:t>所检项目未发现不</w:t>
      </w:r>
      <w:r>
        <w:rPr>
          <w:rStyle w:val="6"/>
          <w:rFonts w:ascii="仿宋" w:hAnsi="仿宋" w:eastAsia="仿宋"/>
          <w:b w:val="0"/>
          <w:i w:val="0"/>
          <w:caps w:val="0"/>
          <w:color w:val="000000"/>
          <w:spacing w:val="0"/>
          <w:w w:val="100"/>
          <w:kern w:val="2"/>
          <w:sz w:val="30"/>
          <w:szCs w:val="30"/>
          <w:lang w:val="en-US" w:eastAsia="zh-CN" w:bidi="ar-SA"/>
        </w:rPr>
        <w:t>合格；检验项目中任一项或一项以上不合格，判定为被抽查产品不合格。</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firstLine="597" w:firstLineChars="199"/>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若被检产品明示的质量要求高于本细则中检验项目依据的标准要求时，应按被检产品明示的质量要求判定。</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firstLine="597" w:firstLineChars="199"/>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若被检产品明示的质量要求低于本细则中检验项目依据的强制性标准要求时，应按照强制性标准要求判定。</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firstLine="597" w:firstLineChars="199"/>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若被检产品明示的质量要求低于或包含本细则中检验项目依据的推荐性标准要求时，应以被检产品明示的质量要求判定。</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firstLine="597" w:firstLineChars="199"/>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若被检产品明示的质量要求缺少本细则中检验项目依据的强制性标准要求时，应按照强制性标准要求判定。</w:t>
      </w:r>
    </w:p>
    <w:p>
      <w:pPr>
        <w:keepNext w:val="0"/>
        <w:keepLines w:val="0"/>
        <w:pageBreakBefore w:val="0"/>
        <w:kinsoku/>
        <w:wordWrap/>
        <w:overflowPunct/>
        <w:topLinePunct w:val="0"/>
        <w:autoSpaceDE/>
        <w:autoSpaceDN/>
        <w:bidi w:val="0"/>
        <w:adjustRightInd/>
        <w:snapToGrid w:val="0"/>
        <w:spacing w:before="0" w:beforeAutospacing="0" w:after="0" w:afterAutospacing="0" w:line="500" w:lineRule="exact"/>
        <w:ind w:firstLine="597" w:firstLineChars="199"/>
        <w:jc w:val="both"/>
        <w:textAlignment w:val="baseline"/>
        <w:rPr>
          <w:rStyle w:val="6"/>
          <w:rFonts w:ascii="仿宋" w:hAnsi="仿宋" w:eastAsia="仿宋"/>
          <w:b w:val="0"/>
          <w:i w:val="0"/>
          <w:caps w:val="0"/>
          <w:color w:val="000000"/>
          <w:spacing w:val="0"/>
          <w:w w:val="100"/>
          <w:kern w:val="2"/>
          <w:sz w:val="30"/>
          <w:szCs w:val="30"/>
          <w:lang w:val="en-US" w:eastAsia="zh-CN" w:bidi="ar-SA"/>
        </w:rPr>
      </w:pPr>
      <w:r>
        <w:rPr>
          <w:rStyle w:val="6"/>
          <w:rFonts w:ascii="仿宋" w:hAnsi="仿宋" w:eastAsia="仿宋"/>
          <w:b w:val="0"/>
          <w:i w:val="0"/>
          <w:caps w:val="0"/>
          <w:color w:val="000000"/>
          <w:spacing w:val="0"/>
          <w:w w:val="100"/>
          <w:kern w:val="2"/>
          <w:sz w:val="30"/>
          <w:szCs w:val="30"/>
          <w:lang w:val="en-US" w:eastAsia="zh-CN" w:bidi="ar-SA"/>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4" w:right="1474" w:bottom="1644" w:left="1474" w:header="851" w:footer="1191" w:gutter="0"/>
      <w:lnNumType w:countBy="0"/>
      <w:cols w:space="425"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堵.">
    <w:altName w:val="黑体"/>
    <w:panose1 w:val="00000000000000000000"/>
    <w:charset w:val="00"/>
    <w:family w:val="auto"/>
    <w:pitch w:val="default"/>
    <w:sig w:usb0="00000000" w:usb1="00000000" w:usb2="00000000" w:usb3="00000000" w:csb0="00000000" w:csb1="00000000"/>
  </w:font>
  <w:font w:name="微软雅黑_x0006_堵.">
    <w:altName w:val="黑体"/>
    <w:panose1 w:val="00000000000000000000"/>
    <w:charset w:val="86"/>
    <w:family w:val="swiss"/>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idowControl/>
      <w:snapToGrid w:val="0"/>
      <w:jc w:val="center"/>
      <w:textAlignment w:val="baseline"/>
      <w:rPr>
        <w:rStyle w:val="6"/>
        <w:kern w:val="2"/>
        <w:sz w:val="18"/>
        <w:szCs w:val="18"/>
        <w:lang w:val="en-US" w:eastAsia="zh-CN" w:bidi="ar-SA"/>
      </w:rPr>
    </w:pPr>
  </w:p>
  <w:p>
    <w:pPr>
      <w:pStyle w:val="2"/>
      <w:widowControl/>
      <w:snapToGrid w:val="0"/>
      <w:ind w:right="360"/>
      <w:jc w:val="left"/>
      <w:textAlignment w:val="baseline"/>
      <w:rPr>
        <w:rStyle w:val="6"/>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Align="inline"/>
      <w:widowControl/>
      <w:snapToGrid w:val="0"/>
      <w:jc w:val="left"/>
      <w:textAlignment w:val="baseline"/>
      <w:rPr>
        <w:rStyle w:val="12"/>
        <w:kern w:val="2"/>
        <w:sz w:val="18"/>
        <w:szCs w:val="18"/>
        <w:lang w:val="en-US" w:eastAsia="zh-CN" w:bidi="ar-SA"/>
      </w:rPr>
    </w:pPr>
  </w:p>
  <w:p>
    <w:pPr>
      <w:pStyle w:val="2"/>
      <w:widowControl/>
      <w:snapToGrid w:val="0"/>
      <w:ind w:right="360"/>
      <w:jc w:val="left"/>
      <w:textAlignment w:val="baseline"/>
      <w:rPr>
        <w:rStyle w:val="6"/>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pBdr>
        <w:bottom w:val="none" w:color="auto" w:sz="0" w:space="0"/>
      </w:pBdr>
      <w:snapToGrid w:val="0"/>
      <w:jc w:val="center"/>
      <w:textAlignment w:val="baseline"/>
      <w:rPr>
        <w:rStyle w:val="6"/>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documentProtection w:enforcement="0"/>
  <w:defaultTabStop w:val="420"/>
  <w:displayHorizontalDrawingGridEvery w:val="0"/>
  <w:displayVerticalDrawingGridEvery w:val="2"/>
  <w:doNotUseMarginsForDrawingGridOrigin w:val="true"/>
  <w:drawingGridHorizontalOrigin w:val="1800"/>
  <w:drawingGridVerticalOrigin w:val="1440"/>
  <w:noPunctuationKerning w:val="true"/>
  <w:compat>
    <w:balanceSingleByteDoubleByteWidth/>
    <w:doNotLeaveBackslashAlone/>
    <w:doNotExpandShiftReturn/>
    <w:adjustLineHeightInTable/>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00000"/>
    <w:rsid w:val="01C663C5"/>
    <w:rsid w:val="05B565A2"/>
    <w:rsid w:val="250A1FF8"/>
    <w:rsid w:val="3FE7D386"/>
    <w:rsid w:val="508F55FA"/>
    <w:rsid w:val="673B2879"/>
    <w:rsid w:val="6CFD2CA1"/>
    <w:rsid w:val="6F33A0F6"/>
    <w:rsid w:val="6FFF0324"/>
    <w:rsid w:val="70781905"/>
    <w:rsid w:val="71E200AF"/>
    <w:rsid w:val="7AC02FF9"/>
    <w:rsid w:val="7ADE6B47"/>
    <w:rsid w:val="7DFFA915"/>
    <w:rsid w:val="B7EFE218"/>
    <w:rsid w:val="DFBC0A58"/>
    <w:rsid w:val="EFF747C1"/>
    <w:rsid w:val="FF965B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3"/>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textAlignment w:val="baseline"/>
    </w:pPr>
    <w:rPr>
      <w:kern w:val="2"/>
      <w:sz w:val="18"/>
      <w:szCs w:val="18"/>
      <w:lang w:val="en-US" w:eastAsia="zh-CN" w:bidi="ar-SA"/>
    </w:rPr>
  </w:style>
  <w:style w:type="paragraph" w:styleId="3">
    <w:name w:val="header"/>
    <w:basedOn w:val="1"/>
    <w:link w:val="11"/>
    <w:qFormat/>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character" w:customStyle="1" w:styleId="6">
    <w:name w:val="NormalCharacter"/>
    <w:link w:val="1"/>
    <w:semiHidden/>
    <w:qFormat/>
    <w:uiPriority w:val="0"/>
  </w:style>
  <w:style w:type="table" w:customStyle="1" w:styleId="7">
    <w:name w:val="TableNormal"/>
    <w:qFormat/>
    <w:uiPriority w:val="0"/>
  </w:style>
  <w:style w:type="paragraph" w:customStyle="1" w:styleId="8">
    <w:name w:val="Acetate"/>
    <w:basedOn w:val="1"/>
    <w:link w:val="9"/>
    <w:qFormat/>
    <w:uiPriority w:val="0"/>
    <w:pPr>
      <w:jc w:val="both"/>
      <w:textAlignment w:val="baseline"/>
    </w:pPr>
    <w:rPr>
      <w:kern w:val="2"/>
      <w:sz w:val="18"/>
      <w:szCs w:val="18"/>
      <w:lang w:val="en-US" w:eastAsia="zh-CN" w:bidi="ar-SA"/>
    </w:rPr>
  </w:style>
  <w:style w:type="character" w:customStyle="1" w:styleId="9">
    <w:name w:val="UserStyle_0"/>
    <w:link w:val="8"/>
    <w:semiHidden/>
    <w:qFormat/>
    <w:uiPriority w:val="0"/>
    <w:rPr>
      <w:kern w:val="2"/>
      <w:sz w:val="18"/>
      <w:szCs w:val="18"/>
    </w:rPr>
  </w:style>
  <w:style w:type="character" w:customStyle="1" w:styleId="10">
    <w:name w:val="UserStyle_1"/>
    <w:link w:val="2"/>
    <w:qFormat/>
    <w:uiPriority w:val="0"/>
    <w:rPr>
      <w:kern w:val="2"/>
      <w:sz w:val="18"/>
      <w:szCs w:val="18"/>
    </w:rPr>
  </w:style>
  <w:style w:type="character" w:customStyle="1" w:styleId="11">
    <w:name w:val="UserStyle_2"/>
    <w:link w:val="3"/>
    <w:semiHidden/>
    <w:qFormat/>
    <w:uiPriority w:val="0"/>
    <w:rPr>
      <w:kern w:val="2"/>
      <w:sz w:val="18"/>
      <w:szCs w:val="18"/>
    </w:rPr>
  </w:style>
  <w:style w:type="character" w:customStyle="1" w:styleId="12">
    <w:name w:val="PageNumber"/>
    <w:basedOn w:val="6"/>
    <w:link w:val="1"/>
    <w:qFormat/>
    <w:uiPriority w:val="0"/>
  </w:style>
  <w:style w:type="character" w:customStyle="1" w:styleId="13">
    <w:name w:val="UserStyle_3"/>
    <w:link w:val="1"/>
    <w:qFormat/>
    <w:uiPriority w:val="0"/>
    <w:rPr>
      <w:rFonts w:ascii="宋体" w:hAnsi="宋体" w:eastAsia="宋体"/>
      <w:color w:val="000000"/>
      <w:sz w:val="22"/>
      <w:szCs w:val="22"/>
    </w:rPr>
  </w:style>
  <w:style w:type="paragraph" w:customStyle="1" w:styleId="14">
    <w:name w:val="UserStyle_4"/>
    <w:basedOn w:val="1"/>
    <w:qFormat/>
    <w:uiPriority w:val="0"/>
    <w:pPr>
      <w:ind w:firstLine="420" w:firstLineChars="200"/>
      <w:jc w:val="both"/>
      <w:textAlignment w:val="baseline"/>
    </w:pPr>
    <w:rPr>
      <w:rFonts w:ascii="Calibri" w:hAnsi="Calibri"/>
      <w:kern w:val="2"/>
      <w:sz w:val="21"/>
      <w:szCs w:val="22"/>
      <w:lang w:val="en-US" w:eastAsia="zh-CN" w:bidi="ar-SA"/>
    </w:rPr>
  </w:style>
  <w:style w:type="paragraph" w:customStyle="1" w:styleId="15">
    <w:name w:val="UserStyle_5"/>
    <w:qFormat/>
    <w:uiPriority w:val="0"/>
    <w:pPr>
      <w:textAlignment w:val="baseline"/>
    </w:pPr>
    <w:rPr>
      <w:rFonts w:ascii="微软雅黑堵." w:hAnsi="Times New Roman" w:eastAsia="微软雅黑_x0006_堵." w:cstheme="minorBidi"/>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701</Words>
  <Characters>1041</Characters>
  <TotalTime>0</TotalTime>
  <ScaleCrop>false</ScaleCrop>
  <LinksUpToDate>false</LinksUpToDate>
  <CharactersWithSpaces>1092</CharactersWithSpaces>
  <Application>WPS Office_11.8.2.10229_F1E327BC-269C-435d-A152-05C5408002CA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2021-09-29T00:41:00Z</dcterms:created>
  <dc:creator>Administrator</dc:creator>
  <cp:lastModifiedBy>administrator</cp:lastModifiedBy>
  <dcterms:modified xsi:type="dcterms:W3CDTF">2025-05-13T16:31:57Z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9F626761E2B14AAF88A88EA3AA8E47CC</vt:lpwstr>
  </property>
</Properties>
</file>